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8A20F4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Oak Hills</w:t>
      </w:r>
    </w:p>
    <w:p w:rsidR="008A20F4" w:rsidRDefault="008A20F4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2018 1</w:t>
      </w:r>
      <w:r w:rsidRPr="008A20F4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8A20F4" w:rsidRPr="008A20F4" w:rsidRDefault="008A20F4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2EC585B0" wp14:editId="0DC89847">
            <wp:extent cx="9172575" cy="62674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A20F4" w:rsidRPr="008A20F4" w:rsidSect="008A20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F4"/>
    <w:rsid w:val="00206930"/>
    <w:rsid w:val="00501926"/>
    <w:rsid w:val="008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F7960-9353-4748-8C83-11FE796A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 baseline="0">
                <a:latin typeface="Californian FB" panose="0207040306080B030204" pitchFamily="18" charset="0"/>
              </a:rPr>
              <a:t>36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3">
                  <c:v>1</c:v>
                </c:pt>
                <c:pt idx="6">
                  <c:v>3</c:v>
                </c:pt>
                <c:pt idx="7">
                  <c:v>7</c:v>
                </c:pt>
                <c:pt idx="8">
                  <c:v>3</c:v>
                </c:pt>
                <c:pt idx="9">
                  <c:v>3</c:v>
                </c:pt>
                <c:pt idx="10">
                  <c:v>7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2749960"/>
        <c:axId val="412750352"/>
        <c:axId val="0"/>
      </c:bar3DChart>
      <c:catAx>
        <c:axId val="412749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750352"/>
        <c:crosses val="autoZero"/>
        <c:auto val="1"/>
        <c:lblAlgn val="ctr"/>
        <c:lblOffset val="100"/>
        <c:noMultiLvlLbl val="0"/>
      </c:catAx>
      <c:valAx>
        <c:axId val="4127503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2749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0.15888</cdr:x>
      <cdr:y>0.1307</cdr:y>
    </cdr:from>
    <cdr:to>
      <cdr:x>0.64174</cdr:x>
      <cdr:y>0.19453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57325" y="819150"/>
          <a:ext cx="442912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3,767</a:t>
          </a:r>
          <a:r>
            <a:rPr lang="en-US" sz="1100" baseline="0"/>
            <a:t> - Average Year Built </a:t>
          </a:r>
          <a:r>
            <a:rPr lang="en-US" sz="1100" b="1" baseline="0"/>
            <a:t>2004</a:t>
          </a:r>
          <a:endParaRPr lang="en-US" sz="1100" b="1"/>
        </a:p>
      </cdr:txBody>
    </cdr:sp>
  </cdr:relSizeAnchor>
  <cdr:relSizeAnchor xmlns:cdr="http://schemas.openxmlformats.org/drawingml/2006/chartDrawing">
    <cdr:from>
      <cdr:x>0.15784</cdr:x>
      <cdr:y>0.19301</cdr:y>
    </cdr:from>
    <cdr:to>
      <cdr:x>0.66563</cdr:x>
      <cdr:y>0.25836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47800" y="1209675"/>
          <a:ext cx="46577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2,906</a:t>
          </a:r>
          <a:r>
            <a:rPr lang="en-US" sz="1100" baseline="0"/>
            <a:t> - Average Year Built </a:t>
          </a:r>
          <a:r>
            <a:rPr lang="en-US" sz="1100" b="1" baseline="0"/>
            <a:t>2004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0.15992</cdr:x>
      <cdr:y>0.25532</cdr:y>
    </cdr:from>
    <cdr:to>
      <cdr:x>0.63032</cdr:x>
      <cdr:y>0.31611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1600200"/>
          <a:ext cx="431482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2,603</a:t>
          </a:r>
          <a:r>
            <a:rPr lang="en-US" sz="1100"/>
            <a:t> - Average Year Built </a:t>
          </a:r>
          <a:r>
            <a:rPr lang="en-US" sz="1100" b="1"/>
            <a:t>2000</a:t>
          </a:r>
        </a:p>
      </cdr:txBody>
    </cdr:sp>
  </cdr:relSizeAnchor>
  <cdr:relSizeAnchor xmlns:cdr="http://schemas.openxmlformats.org/drawingml/2006/chartDrawing">
    <cdr:from>
      <cdr:x>0.16096</cdr:x>
      <cdr:y>0.31763</cdr:y>
    </cdr:from>
    <cdr:to>
      <cdr:x>0.58671</cdr:x>
      <cdr:y>0.38146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990725"/>
          <a:ext cx="3905250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2,769</a:t>
          </a:r>
          <a:r>
            <a:rPr lang="en-US" sz="1100" baseline="0"/>
            <a:t> - Average Year Built </a:t>
          </a:r>
          <a:r>
            <a:rPr lang="en-US" sz="1100" b="1" baseline="0"/>
            <a:t>1993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0.15992</cdr:x>
      <cdr:y>0.38146</cdr:y>
    </cdr:from>
    <cdr:to>
      <cdr:x>0.59294</cdr:x>
      <cdr:y>0.44529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2390775"/>
          <a:ext cx="397192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2,460</a:t>
          </a:r>
          <a:r>
            <a:rPr lang="en-US" sz="1100" baseline="0"/>
            <a:t> - Average Year Built </a:t>
          </a:r>
          <a:r>
            <a:rPr lang="en-US" sz="1100" b="1" baseline="0"/>
            <a:t>1995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0.15992</cdr:x>
      <cdr:y>0.44225</cdr:y>
    </cdr:from>
    <cdr:to>
      <cdr:x>0.57321</cdr:x>
      <cdr:y>0.49696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2771775"/>
          <a:ext cx="379095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2,612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1995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0.16096</cdr:x>
      <cdr:y>0.5076</cdr:y>
    </cdr:from>
    <cdr:to>
      <cdr:x>0.55244</cdr:x>
      <cdr:y>0.56839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181350"/>
          <a:ext cx="359092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2,392</a:t>
          </a:r>
          <a:r>
            <a:rPr lang="en-US" sz="1100"/>
            <a:t> - Average Year Built </a:t>
          </a:r>
          <a:r>
            <a:rPr lang="en-US" sz="1100" b="1"/>
            <a:t>2003</a:t>
          </a:r>
        </a:p>
      </cdr:txBody>
    </cdr:sp>
  </cdr:relSizeAnchor>
  <cdr:relSizeAnchor xmlns:cdr="http://schemas.openxmlformats.org/drawingml/2006/chartDrawing">
    <cdr:from>
      <cdr:x>0.16199</cdr:x>
      <cdr:y>0.56687</cdr:y>
    </cdr:from>
    <cdr:to>
      <cdr:x>0.56075</cdr:x>
      <cdr:y>0.62918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552825"/>
          <a:ext cx="36576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2,000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2002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0.15888</cdr:x>
      <cdr:y>0.75532</cdr:y>
    </cdr:from>
    <cdr:to>
      <cdr:x>0.55556</cdr:x>
      <cdr:y>0.81915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57325" y="4733925"/>
          <a:ext cx="3638550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aseline="0"/>
            <a:t> </a:t>
          </a:r>
          <a:r>
            <a:rPr lang="en-US" sz="1100" b="1" baseline="0"/>
            <a:t>1,780</a:t>
          </a:r>
          <a:r>
            <a:rPr lang="en-US" sz="1100" baseline="0"/>
            <a:t> - Year Built </a:t>
          </a:r>
          <a:r>
            <a:rPr lang="en-US" sz="1100" b="1" baseline="0"/>
            <a:t>1988</a:t>
          </a:r>
          <a:endParaRPr lang="en-US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2018-04-18T16:27:00Z</dcterms:created>
  <dcterms:modified xsi:type="dcterms:W3CDTF">2018-04-18T16:39:00Z</dcterms:modified>
</cp:coreProperties>
</file>